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trHeight w:val="230"/>
          <w:jc w:val="center"/>
        </w:trPr>
        <w:tc>
          <w:tcPr>
            <w:tcW w:w="15174" w:type="dxa"/>
            <w:gridSpan w:val="2"/>
          </w:tcPr>
          <w:p w:rsidR="001F7A2A" w:rsidRPr="001F7A2A" w:rsidRDefault="001F7A2A" w:rsidP="001F7A2A">
            <w:pPr>
              <w:pStyle w:val="NoSpacing"/>
              <w:ind w:right="-64"/>
              <w:jc w:val="center"/>
              <w:rPr>
                <w:rFonts w:asciiTheme="majorHAnsi" w:hAnsiTheme="majorHAnsi" w:cs="Arial"/>
                <w:b/>
              </w:rPr>
            </w:pPr>
            <w:r w:rsidRPr="00661736">
              <w:rPr>
                <w:rFonts w:asciiTheme="majorHAnsi" w:hAnsiTheme="majorHAnsi" w:cs="Arial"/>
                <w:b/>
                <w:sz w:val="28"/>
              </w:rPr>
              <w:t>Paper and Paper Product Panel</w:t>
            </w:r>
          </w:p>
        </w:tc>
      </w:tr>
      <w:tr w:rsidR="001F7A2A" w:rsidRPr="003615DF" w:rsidTr="00661736">
        <w:trPr>
          <w:trHeight w:val="773"/>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lang w:val="en-IN"/>
              </w:rPr>
              <w:t xml:space="preserve">1) </w:t>
            </w:r>
            <w:r w:rsidRPr="003615DF">
              <w:rPr>
                <w:rFonts w:asciiTheme="majorHAnsi" w:hAnsiTheme="majorHAnsi" w:cs="Arial"/>
                <w:lang w:val="en-IN"/>
              </w:rPr>
              <w:t>Import from MFN</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 xml:space="preserve">To restore Most Favoured Nation on import on Paper &amp; Paper Board Panel from ASEAN. The prevailing Free Trade Agreement with the ASEAN countries, the import of Paper and Paper Board is allowed at Zero Duty. Especially from the countries like Indonesia and Thailand, lot of cheap material is imported. As a result of that the local industry is suffering.  </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lang w:val="en-IN"/>
              </w:rPr>
            </w:pPr>
            <w:r>
              <w:rPr>
                <w:rFonts w:asciiTheme="majorHAnsi" w:hAnsiTheme="majorHAnsi" w:cs="Arial"/>
                <w:lang w:val="en-IN"/>
              </w:rPr>
              <w:t xml:space="preserve">2) </w:t>
            </w:r>
            <w:r w:rsidRPr="003615DF">
              <w:rPr>
                <w:rFonts w:asciiTheme="majorHAnsi" w:hAnsiTheme="majorHAnsi" w:cs="Arial"/>
                <w:lang w:val="en-IN"/>
              </w:rPr>
              <w:t>MEIS</w:t>
            </w:r>
          </w:p>
          <w:p w:rsidR="001F7A2A" w:rsidRPr="003615DF" w:rsidRDefault="001F7A2A" w:rsidP="003615DF">
            <w:pPr>
              <w:jc w:val="both"/>
              <w:rPr>
                <w:rFonts w:asciiTheme="majorHAnsi" w:hAnsiTheme="majorHAnsi" w:cs="Arial"/>
                <w:lang w:val="en-IN"/>
              </w:rPr>
            </w:pPr>
          </w:p>
          <w:p w:rsidR="001F7A2A" w:rsidRPr="003615DF" w:rsidRDefault="001F7A2A" w:rsidP="003615DF">
            <w:pPr>
              <w:jc w:val="both"/>
              <w:rPr>
                <w:rFonts w:asciiTheme="majorHAnsi" w:hAnsiTheme="majorHAnsi" w:cs="Arial"/>
                <w:lang w:val="en-IN"/>
              </w:rPr>
            </w:pPr>
            <w:r w:rsidRPr="003615DF">
              <w:rPr>
                <w:rFonts w:asciiTheme="majorHAnsi" w:hAnsiTheme="majorHAnsi" w:cs="Arial"/>
                <w:lang w:val="en-IN"/>
              </w:rPr>
              <w:t>Interest Subvention Scheme</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-The benefit under MEIS should be increased to 7% for printed materials covered under chapter heading 4819, 4820, 4821 and 49 from the stipulated 2 to 3%.</w:t>
            </w:r>
          </w:p>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-Interest Subvention Scheme for the above mentioned chapter heading.</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lang w:val="en-IN"/>
              </w:rPr>
              <w:t xml:space="preserve">3) </w:t>
            </w:r>
            <w:r w:rsidRPr="003615DF">
              <w:rPr>
                <w:rFonts w:asciiTheme="majorHAnsi" w:hAnsiTheme="majorHAnsi" w:cs="Arial"/>
                <w:lang w:val="en-IN"/>
              </w:rPr>
              <w:t>Export benefits to Nepal &amp; Bhutan</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-Exports of Printed Materials to Nepal and Bhutan, even if the payments are received in Indian Rupees should be given all export benefits as applicable to other Exporters.</w:t>
            </w:r>
          </w:p>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-To extend the facility of clearing the goods for exports under bond without payment of Excise Duty for exports against Rupee Payment to Bhutan as well, as has been done in the case of Nepal.</w:t>
            </w:r>
          </w:p>
        </w:tc>
      </w:tr>
      <w:tr w:rsidR="001F7A2A" w:rsidRPr="003615DF" w:rsidTr="001F7A2A">
        <w:trPr>
          <w:trHeight w:val="249"/>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lang w:val="en-IN"/>
              </w:rPr>
              <w:t xml:space="preserve">4) </w:t>
            </w:r>
            <w:r w:rsidRPr="003615DF">
              <w:rPr>
                <w:rFonts w:asciiTheme="majorHAnsi" w:hAnsiTheme="majorHAnsi" w:cs="Arial"/>
                <w:lang w:val="en-IN"/>
              </w:rPr>
              <w:t>Issuance of Dual passports</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 xml:space="preserve">Issuance of Dual passports to the Business Executives of Export Houses. </w:t>
            </w:r>
          </w:p>
        </w:tc>
      </w:tr>
    </w:tbl>
    <w:p w:rsidR="00AF79BC" w:rsidRDefault="00AF79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bookmarkStart w:id="0" w:name="_GoBack"/>
      <w:bookmarkEnd w:id="0"/>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58" w:rsidRDefault="00B71958" w:rsidP="002B073E">
      <w:pPr>
        <w:spacing w:after="0" w:line="240" w:lineRule="auto"/>
      </w:pPr>
      <w:r>
        <w:separator/>
      </w:r>
    </w:p>
  </w:endnote>
  <w:endnote w:type="continuationSeparator" w:id="0">
    <w:p w:rsidR="00B71958" w:rsidRDefault="00B71958"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AF79BC">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58" w:rsidRDefault="00B71958" w:rsidP="002B073E">
      <w:pPr>
        <w:spacing w:after="0" w:line="240" w:lineRule="auto"/>
      </w:pPr>
      <w:r>
        <w:separator/>
      </w:r>
    </w:p>
  </w:footnote>
  <w:footnote w:type="continuationSeparator" w:id="0">
    <w:p w:rsidR="00B71958" w:rsidRDefault="00B71958"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AF79BC"/>
    <w:rsid w:val="00B14C83"/>
    <w:rsid w:val="00B21BE7"/>
    <w:rsid w:val="00B24705"/>
    <w:rsid w:val="00B26EEA"/>
    <w:rsid w:val="00B3108A"/>
    <w:rsid w:val="00B605EA"/>
    <w:rsid w:val="00B638C1"/>
    <w:rsid w:val="00B71958"/>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2017-09-04T07:39:00Z</dcterms:modified>
</cp:coreProperties>
</file>